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3B50E" w14:textId="1C19ABF0" w:rsidR="007376BA" w:rsidRPr="001901A4" w:rsidRDefault="00182B4B" w:rsidP="001901A4">
      <w:pPr>
        <w:pStyle w:val="Heading1"/>
        <w:jc w:val="center"/>
        <w:rPr>
          <w:rFonts w:ascii="Times New Roman" w:hAnsi="Times New Roman" w:cs="Times New Roman"/>
          <w:color w:val="auto"/>
          <w:sz w:val="32"/>
          <w:szCs w:val="32"/>
        </w:rPr>
      </w:pPr>
      <w:r w:rsidRPr="001901A4">
        <w:rPr>
          <w:rFonts w:ascii="Times New Roman" w:hAnsi="Times New Roman" w:cs="Times New Roman"/>
          <w:color w:val="auto"/>
          <w:sz w:val="32"/>
          <w:szCs w:val="32"/>
        </w:rPr>
        <w:t>Delaware Manufactured Home Relocation Authority</w:t>
      </w:r>
      <w:r w:rsidRPr="001901A4">
        <w:rPr>
          <w:rFonts w:ascii="Times New Roman" w:hAnsi="Times New Roman" w:cs="Times New Roman"/>
          <w:color w:val="auto"/>
          <w:sz w:val="32"/>
          <w:szCs w:val="32"/>
        </w:rPr>
        <w:br/>
        <w:t>Frequently Asked Questions</w:t>
      </w:r>
    </w:p>
    <w:p w14:paraId="78059AD2" w14:textId="77777777" w:rsidR="007376BA" w:rsidRPr="00386261" w:rsidRDefault="00182B4B">
      <w:pPr>
        <w:jc w:val="center"/>
        <w:rPr>
          <w:rFonts w:ascii="Times New Roman" w:hAnsi="Times New Roman" w:cs="Times New Roman"/>
          <w:sz w:val="28"/>
          <w:szCs w:val="28"/>
        </w:rPr>
      </w:pPr>
      <w:r w:rsidRPr="00386261">
        <w:rPr>
          <w:rFonts w:ascii="Times New Roman" w:hAnsi="Times New Roman" w:cs="Times New Roman"/>
          <w:i/>
          <w:sz w:val="28"/>
          <w:szCs w:val="28"/>
        </w:rPr>
        <w:t>Revised for clarity and to reflect 2026 assessment changes</w:t>
      </w:r>
    </w:p>
    <w:p w14:paraId="0A116819" w14:textId="7777777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t xml:space="preserve">1. Why do I pay an extra $1.50 per month in </w:t>
      </w:r>
      <w:proofErr w:type="gramStart"/>
      <w:r w:rsidRPr="00386261">
        <w:rPr>
          <w:rFonts w:ascii="Times New Roman" w:hAnsi="Times New Roman" w:cs="Times New Roman"/>
          <w:b/>
          <w:sz w:val="28"/>
          <w:szCs w:val="28"/>
        </w:rPr>
        <w:t>my lot</w:t>
      </w:r>
      <w:proofErr w:type="gramEnd"/>
      <w:r w:rsidRPr="00386261">
        <w:rPr>
          <w:rFonts w:ascii="Times New Roman" w:hAnsi="Times New Roman" w:cs="Times New Roman"/>
          <w:b/>
          <w:sz w:val="28"/>
          <w:szCs w:val="28"/>
        </w:rPr>
        <w:t xml:space="preserve"> rent?</w:t>
      </w:r>
    </w:p>
    <w:p w14:paraId="58D339A8" w14:textId="518505F3"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xml:space="preserve">In accordance with </w:t>
      </w:r>
      <w:hyperlink r:id="rId8" w:history="1">
        <w:r w:rsidRPr="00B219FB">
          <w:rPr>
            <w:rStyle w:val="Hyperlink"/>
            <w:rFonts w:ascii="Times New Roman" w:hAnsi="Times New Roman" w:cs="Times New Roman"/>
            <w:color w:val="002CB8"/>
            <w:sz w:val="28"/>
            <w:szCs w:val="28"/>
          </w:rPr>
          <w:t>Title 25, Chapter 70 of the Delaware Code</w:t>
        </w:r>
      </w:hyperlink>
      <w:r w:rsidRPr="00386261">
        <w:rPr>
          <w:rFonts w:ascii="Times New Roman" w:hAnsi="Times New Roman" w:cs="Times New Roman"/>
          <w:sz w:val="28"/>
          <w:szCs w:val="28"/>
        </w:rPr>
        <w:t xml:space="preserve">, a monthly assessment is imposed for each rented lot in a manufactured home community. Effective January 1, 2026, the assessment is $1.50 per month for the tenant and </w:t>
      </w:r>
      <w:r w:rsidR="00386261" w:rsidRPr="00386261">
        <w:rPr>
          <w:rFonts w:ascii="Times New Roman" w:hAnsi="Times New Roman" w:cs="Times New Roman"/>
          <w:sz w:val="28"/>
          <w:szCs w:val="28"/>
        </w:rPr>
        <w:t>$0</w:t>
      </w:r>
      <w:r w:rsidRPr="00386261">
        <w:rPr>
          <w:rFonts w:ascii="Times New Roman" w:hAnsi="Times New Roman" w:cs="Times New Roman"/>
          <w:sz w:val="28"/>
          <w:szCs w:val="28"/>
        </w:rPr>
        <w:t xml:space="preserve"> per month for the landlord. The </w:t>
      </w:r>
      <w:r w:rsidR="00386261" w:rsidRPr="00386261">
        <w:rPr>
          <w:rFonts w:ascii="Times New Roman" w:hAnsi="Times New Roman" w:cs="Times New Roman"/>
          <w:sz w:val="28"/>
          <w:szCs w:val="28"/>
        </w:rPr>
        <w:t xml:space="preserve">landlord collects the tenant’s $1.50 portion </w:t>
      </w:r>
      <w:r w:rsidRPr="00386261">
        <w:rPr>
          <w:rFonts w:ascii="Times New Roman" w:hAnsi="Times New Roman" w:cs="Times New Roman"/>
          <w:sz w:val="28"/>
          <w:szCs w:val="28"/>
        </w:rPr>
        <w:t xml:space="preserve">each month as additional rent. The $1.50 tenant portion is redirected to the Delaware Manufactured </w:t>
      </w:r>
      <w:r w:rsidR="00386261" w:rsidRPr="00386261">
        <w:rPr>
          <w:rFonts w:ascii="Times New Roman" w:hAnsi="Times New Roman" w:cs="Times New Roman"/>
          <w:sz w:val="28"/>
          <w:szCs w:val="28"/>
        </w:rPr>
        <w:t>Homeowner</w:t>
      </w:r>
      <w:r w:rsidRPr="00386261">
        <w:rPr>
          <w:rFonts w:ascii="Times New Roman" w:hAnsi="Times New Roman" w:cs="Times New Roman"/>
          <w:sz w:val="28"/>
          <w:szCs w:val="28"/>
        </w:rPr>
        <w:t xml:space="preserve"> Attorney Fund. The landlord remits both portions </w:t>
      </w:r>
      <w:r w:rsidR="00F659BF" w:rsidRPr="00386261">
        <w:rPr>
          <w:rFonts w:ascii="Times New Roman" w:hAnsi="Times New Roman" w:cs="Times New Roman"/>
          <w:sz w:val="28"/>
          <w:szCs w:val="28"/>
        </w:rPr>
        <w:t>quarterly,</w:t>
      </w:r>
      <w:r w:rsidRPr="00386261">
        <w:rPr>
          <w:rFonts w:ascii="Times New Roman" w:hAnsi="Times New Roman" w:cs="Times New Roman"/>
          <w:sz w:val="28"/>
          <w:szCs w:val="28"/>
        </w:rPr>
        <w:t xml:space="preserve"> as required by law.</w:t>
      </w:r>
    </w:p>
    <w:p w14:paraId="3A57D32C" w14:textId="7777777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t>2. Does DEMHRA provide financial assistance if I want to move my manufactured home to another location?</w:t>
      </w:r>
    </w:p>
    <w:p w14:paraId="564D2376"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DEMHRA provides relocation assistance to eligible residents when a community owner intends to change the use of all or part of the land on which the manufactured home community is located, resulting in termination or nonrenewal of the affected rental agreements, in accordance with Title 25, Chapter 70.</w:t>
      </w:r>
    </w:p>
    <w:p w14:paraId="685655F5" w14:textId="7777777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t>3. What is a change in land use?</w:t>
      </w:r>
    </w:p>
    <w:p w14:paraId="532C8E04"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A change in land use occurs when a community owner intends to change the use of all or part of the land on which a manufactured home community is located and, as a result, intends to terminate or not renew affected rental agreements.</w:t>
      </w:r>
    </w:p>
    <w:p w14:paraId="6F510C83" w14:textId="7777777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t>4. How much notice will I get if this happens?</w:t>
      </w:r>
    </w:p>
    <w:p w14:paraId="1359EE5C"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The community owner must provide affected residents with at least one year’s notice of the intended change in land use. The owner must also provide the required information and updates in accordance with Delaware law.</w:t>
      </w:r>
    </w:p>
    <w:p w14:paraId="7C1A0121" w14:textId="7777777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lastRenderedPageBreak/>
        <w:t xml:space="preserve">5. If my home is not </w:t>
      </w:r>
      <w:proofErr w:type="gramStart"/>
      <w:r w:rsidRPr="00386261">
        <w:rPr>
          <w:rFonts w:ascii="Times New Roman" w:hAnsi="Times New Roman" w:cs="Times New Roman"/>
          <w:b/>
          <w:sz w:val="28"/>
          <w:szCs w:val="28"/>
        </w:rPr>
        <w:t>relocatable</w:t>
      </w:r>
      <w:proofErr w:type="gramEnd"/>
      <w:r w:rsidRPr="00386261">
        <w:rPr>
          <w:rFonts w:ascii="Times New Roman" w:hAnsi="Times New Roman" w:cs="Times New Roman"/>
          <w:b/>
          <w:sz w:val="28"/>
          <w:szCs w:val="28"/>
        </w:rPr>
        <w:t xml:space="preserve"> or I abandon it before the one-year notice period expires, what are my options?</w:t>
      </w:r>
    </w:p>
    <w:p w14:paraId="0CAA5AA8"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Depending on the circumstances and applicable eligibility requirements, you may be eligible for compensation for a nonrelocatable home or an abandonment allowance. Required documentation may include proof that property taxes have been paid and surrender of the manufactured home title to DEMHRA. Residents should contact DEMHRA for the applicable requirements and application process.</w:t>
      </w:r>
    </w:p>
    <w:p w14:paraId="7E64A8AF" w14:textId="5C5E02C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t xml:space="preserve">6. I am a community owner and one of my tenants abandoned his or her manufactured home. Will DEMHRA pay </w:t>
      </w:r>
      <w:r w:rsidR="00386261" w:rsidRPr="00386261">
        <w:rPr>
          <w:rFonts w:ascii="Times New Roman" w:hAnsi="Times New Roman" w:cs="Times New Roman"/>
          <w:b/>
          <w:sz w:val="28"/>
          <w:szCs w:val="28"/>
        </w:rPr>
        <w:t>to demolish</w:t>
      </w:r>
      <w:r w:rsidRPr="00386261">
        <w:rPr>
          <w:rFonts w:ascii="Times New Roman" w:hAnsi="Times New Roman" w:cs="Times New Roman"/>
          <w:b/>
          <w:sz w:val="28"/>
          <w:szCs w:val="28"/>
        </w:rPr>
        <w:t xml:space="preserve"> that home?</w:t>
      </w:r>
    </w:p>
    <w:p w14:paraId="76A8309D" w14:textId="3B0C5D99"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xml:space="preserve">DEMHRA may </w:t>
      </w:r>
      <w:r w:rsidR="00F659BF" w:rsidRPr="00386261">
        <w:rPr>
          <w:rFonts w:ascii="Times New Roman" w:hAnsi="Times New Roman" w:cs="Times New Roman"/>
          <w:sz w:val="28"/>
          <w:szCs w:val="28"/>
        </w:rPr>
        <w:t>assist in</w:t>
      </w:r>
      <w:r w:rsidRPr="00386261">
        <w:rPr>
          <w:rFonts w:ascii="Times New Roman" w:hAnsi="Times New Roman" w:cs="Times New Roman"/>
          <w:sz w:val="28"/>
          <w:szCs w:val="28"/>
        </w:rPr>
        <w:t xml:space="preserve"> the removal or disposal of an abandoned or </w:t>
      </w:r>
      <w:r w:rsidR="00466A3F" w:rsidRPr="00386261">
        <w:rPr>
          <w:rFonts w:ascii="Times New Roman" w:hAnsi="Times New Roman" w:cs="Times New Roman"/>
          <w:sz w:val="28"/>
          <w:szCs w:val="28"/>
        </w:rPr>
        <w:t>non-</w:t>
      </w:r>
      <w:proofErr w:type="gramStart"/>
      <w:r w:rsidR="00466A3F" w:rsidRPr="00386261">
        <w:rPr>
          <w:rFonts w:ascii="Times New Roman" w:hAnsi="Times New Roman" w:cs="Times New Roman"/>
          <w:sz w:val="28"/>
          <w:szCs w:val="28"/>
        </w:rPr>
        <w:t>relocatable</w:t>
      </w:r>
      <w:proofErr w:type="gramEnd"/>
      <w:r w:rsidRPr="00386261">
        <w:rPr>
          <w:rFonts w:ascii="Times New Roman" w:hAnsi="Times New Roman" w:cs="Times New Roman"/>
          <w:sz w:val="28"/>
          <w:szCs w:val="28"/>
        </w:rPr>
        <w:t xml:space="preserve"> manufactured home when the statutory requirements are met. If the home was abandoned outside of a qualifying change-in-land-use situation, eligibility and applicable requirements should be confirmed with DEMHRA before demolition occurs.</w:t>
      </w:r>
    </w:p>
    <w:p w14:paraId="2D5DFEBB" w14:textId="7777777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t>7. Can my landlord increase my lot rent more than once in 12 months?</w:t>
      </w:r>
    </w:p>
    <w:p w14:paraId="0A0223FA" w14:textId="004C107B"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xml:space="preserve">No. Lot rent may be increased only once during </w:t>
      </w:r>
      <w:r w:rsidR="00F659BF" w:rsidRPr="00386261">
        <w:rPr>
          <w:rFonts w:ascii="Times New Roman" w:hAnsi="Times New Roman" w:cs="Times New Roman"/>
          <w:sz w:val="28"/>
          <w:szCs w:val="28"/>
        </w:rPr>
        <w:t>any 12 months</w:t>
      </w:r>
      <w:r w:rsidRPr="00386261">
        <w:rPr>
          <w:rFonts w:ascii="Times New Roman" w:hAnsi="Times New Roman" w:cs="Times New Roman"/>
          <w:sz w:val="28"/>
          <w:szCs w:val="28"/>
        </w:rPr>
        <w:t xml:space="preserve">, regardless of the term of the tenancy or rental agreement. A landlord must provide written notice of a </w:t>
      </w:r>
      <w:proofErr w:type="gramStart"/>
      <w:r w:rsidRPr="00386261">
        <w:rPr>
          <w:rFonts w:ascii="Times New Roman" w:hAnsi="Times New Roman" w:cs="Times New Roman"/>
          <w:sz w:val="28"/>
          <w:szCs w:val="28"/>
        </w:rPr>
        <w:t>lot</w:t>
      </w:r>
      <w:proofErr w:type="gramEnd"/>
      <w:r w:rsidRPr="00386261">
        <w:rPr>
          <w:rFonts w:ascii="Times New Roman" w:hAnsi="Times New Roman" w:cs="Times New Roman"/>
          <w:sz w:val="28"/>
          <w:szCs w:val="28"/>
        </w:rPr>
        <w:t xml:space="preserve"> rent increase at least 90 days before the effective date of the increase.</w:t>
      </w:r>
    </w:p>
    <w:p w14:paraId="0F2AF1B5" w14:textId="7777777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t>8. As a resident of a manufactured home community, who can I contact if my landlord increases the lot rent two times in one year?</w:t>
      </w:r>
    </w:p>
    <w:p w14:paraId="7D8775F5" w14:textId="4E3BFFCE"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xml:space="preserve">If you believe your landlord has increased the lot rent more than once within </w:t>
      </w:r>
      <w:r w:rsidR="00F659BF" w:rsidRPr="00386261">
        <w:rPr>
          <w:rFonts w:ascii="Times New Roman" w:hAnsi="Times New Roman" w:cs="Times New Roman"/>
          <w:sz w:val="28"/>
          <w:szCs w:val="28"/>
        </w:rPr>
        <w:t>12 months</w:t>
      </w:r>
      <w:r w:rsidRPr="00386261">
        <w:rPr>
          <w:rFonts w:ascii="Times New Roman" w:hAnsi="Times New Roman" w:cs="Times New Roman"/>
          <w:sz w:val="28"/>
          <w:szCs w:val="28"/>
        </w:rPr>
        <w:t xml:space="preserve">, you may file a complaint or seek assistance from the </w:t>
      </w:r>
      <w:hyperlink r:id="rId9" w:history="1">
        <w:r w:rsidRPr="009F295E">
          <w:rPr>
            <w:rStyle w:val="Hyperlink"/>
            <w:rFonts w:ascii="Times New Roman" w:hAnsi="Times New Roman" w:cs="Times New Roman"/>
            <w:color w:val="0033CC"/>
            <w:sz w:val="28"/>
            <w:szCs w:val="28"/>
          </w:rPr>
          <w:t>Consumer Protection Unit of the Delaware Department of Justice</w:t>
        </w:r>
      </w:hyperlink>
      <w:r w:rsidRPr="00386261">
        <w:rPr>
          <w:rFonts w:ascii="Times New Roman" w:hAnsi="Times New Roman" w:cs="Times New Roman"/>
          <w:sz w:val="28"/>
          <w:szCs w:val="28"/>
        </w:rPr>
        <w:t>. You may also contact DEMHRA for information regarding applicable manufactured-home community laws and procedures.</w:t>
      </w:r>
    </w:p>
    <w:p w14:paraId="50C5239A" w14:textId="7777777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t xml:space="preserve">9. I lost my job and have problems paying </w:t>
      </w:r>
      <w:proofErr w:type="gramStart"/>
      <w:r w:rsidRPr="00386261">
        <w:rPr>
          <w:rFonts w:ascii="Times New Roman" w:hAnsi="Times New Roman" w:cs="Times New Roman"/>
          <w:b/>
          <w:sz w:val="28"/>
          <w:szCs w:val="28"/>
        </w:rPr>
        <w:t>my lot</w:t>
      </w:r>
      <w:proofErr w:type="gramEnd"/>
      <w:r w:rsidRPr="00386261">
        <w:rPr>
          <w:rFonts w:ascii="Times New Roman" w:hAnsi="Times New Roman" w:cs="Times New Roman"/>
          <w:b/>
          <w:sz w:val="28"/>
          <w:szCs w:val="28"/>
        </w:rPr>
        <w:t xml:space="preserve"> rent. Can I get assistance from DEMHRA?</w:t>
      </w:r>
    </w:p>
    <w:p w14:paraId="35F39E7E" w14:textId="2C2E56D5"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xml:space="preserve">DEMHRA does not provide general financial assistance to residents who are unable to pay </w:t>
      </w:r>
      <w:proofErr w:type="gramStart"/>
      <w:r w:rsidRPr="00386261">
        <w:rPr>
          <w:rFonts w:ascii="Times New Roman" w:hAnsi="Times New Roman" w:cs="Times New Roman"/>
          <w:sz w:val="28"/>
          <w:szCs w:val="28"/>
        </w:rPr>
        <w:t>their lot</w:t>
      </w:r>
      <w:proofErr w:type="gramEnd"/>
      <w:r w:rsidRPr="00386261">
        <w:rPr>
          <w:rFonts w:ascii="Times New Roman" w:hAnsi="Times New Roman" w:cs="Times New Roman"/>
          <w:sz w:val="28"/>
          <w:szCs w:val="28"/>
        </w:rPr>
        <w:t xml:space="preserve"> rent. However, eligible homeowners may qualify for </w:t>
      </w:r>
      <w:r w:rsidRPr="00386261">
        <w:rPr>
          <w:rFonts w:ascii="Times New Roman" w:hAnsi="Times New Roman" w:cs="Times New Roman"/>
          <w:sz w:val="28"/>
          <w:szCs w:val="28"/>
        </w:rPr>
        <w:lastRenderedPageBreak/>
        <w:t>assistance through the Lot Rent Assistance Program administered by the community owner. Eligibility requirements may include receiving Social Security Disability (SSD) or Supplemental Security Income (SSI)</w:t>
      </w:r>
      <w:r w:rsidR="00F659BF" w:rsidRPr="00386261">
        <w:rPr>
          <w:rFonts w:ascii="Times New Roman" w:hAnsi="Times New Roman" w:cs="Times New Roman"/>
          <w:sz w:val="28"/>
          <w:szCs w:val="28"/>
        </w:rPr>
        <w:t xml:space="preserve"> benefits, being age 62 or older, and</w:t>
      </w:r>
      <w:r w:rsidRPr="00386261">
        <w:rPr>
          <w:rFonts w:ascii="Times New Roman" w:hAnsi="Times New Roman" w:cs="Times New Roman"/>
          <w:sz w:val="28"/>
          <w:szCs w:val="28"/>
        </w:rPr>
        <w:t xml:space="preserve"> other statutory or program requirements.</w:t>
      </w:r>
    </w:p>
    <w:p w14:paraId="0F94CCFB" w14:textId="77777777" w:rsidR="00386261" w:rsidRPr="00386261" w:rsidRDefault="00386261">
      <w:pPr>
        <w:spacing w:after="120"/>
        <w:rPr>
          <w:rFonts w:ascii="Times New Roman" w:hAnsi="Times New Roman" w:cs="Times New Roman"/>
          <w:sz w:val="28"/>
          <w:szCs w:val="28"/>
        </w:rPr>
      </w:pPr>
    </w:p>
    <w:p w14:paraId="42A594E0"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The following eligibility criteria are identified in the current FAQ:</w:t>
      </w:r>
    </w:p>
    <w:p w14:paraId="654D2A7E" w14:textId="55CC2A5F"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xml:space="preserve">• The homeowner must have owned the manufactured home and resided in the manufactured home community </w:t>
      </w:r>
      <w:r w:rsidR="00F659BF" w:rsidRPr="00386261">
        <w:rPr>
          <w:rFonts w:ascii="Times New Roman" w:hAnsi="Times New Roman" w:cs="Times New Roman"/>
          <w:sz w:val="28"/>
          <w:szCs w:val="28"/>
        </w:rPr>
        <w:t>before</w:t>
      </w:r>
      <w:r w:rsidRPr="00386261">
        <w:rPr>
          <w:rFonts w:ascii="Times New Roman" w:hAnsi="Times New Roman" w:cs="Times New Roman"/>
          <w:sz w:val="28"/>
          <w:szCs w:val="28"/>
        </w:rPr>
        <w:t xml:space="preserve"> July 1, 2026.</w:t>
      </w:r>
    </w:p>
    <w:p w14:paraId="5C640ACC"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The homeowner must reside full-time and exclusively in the manufactured home, and it must be the homeowner’s only residence.</w:t>
      </w:r>
    </w:p>
    <w:p w14:paraId="04FF2AF3"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Lot rent, excluding utilities and other charges, fees, and assessments, must exceed 30% of the income of all occupants residing in the home.</w:t>
      </w:r>
    </w:p>
    <w:p w14:paraId="4C1F62E6"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The total liquid assets of all persons residing in the home, including bank accounts, stocks, and bonds, must not exceed $50,000.</w:t>
      </w:r>
    </w:p>
    <w:p w14:paraId="6B21FB5A"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xml:space="preserve">• The homeowner and all </w:t>
      </w:r>
      <w:proofErr w:type="gramStart"/>
      <w:r w:rsidRPr="00386261">
        <w:rPr>
          <w:rFonts w:ascii="Times New Roman" w:hAnsi="Times New Roman" w:cs="Times New Roman"/>
          <w:sz w:val="28"/>
          <w:szCs w:val="28"/>
        </w:rPr>
        <w:t>persons</w:t>
      </w:r>
      <w:proofErr w:type="gramEnd"/>
      <w:r w:rsidRPr="00386261">
        <w:rPr>
          <w:rFonts w:ascii="Times New Roman" w:hAnsi="Times New Roman" w:cs="Times New Roman"/>
          <w:sz w:val="28"/>
          <w:szCs w:val="28"/>
        </w:rPr>
        <w:t xml:space="preserve"> residing in the home must comply with the manufactured home community’s applicable rules, regulations, and standards.</w:t>
      </w:r>
    </w:p>
    <w:p w14:paraId="11B497D2" w14:textId="77777777" w:rsidR="007376BA" w:rsidRPr="00386261" w:rsidRDefault="00182B4B">
      <w:pPr>
        <w:rPr>
          <w:rFonts w:ascii="Times New Roman" w:hAnsi="Times New Roman" w:cs="Times New Roman"/>
          <w:sz w:val="28"/>
          <w:szCs w:val="28"/>
        </w:rPr>
      </w:pPr>
      <w:r w:rsidRPr="00386261">
        <w:rPr>
          <w:rFonts w:ascii="Times New Roman" w:hAnsi="Times New Roman" w:cs="Times New Roman"/>
          <w:b/>
          <w:sz w:val="28"/>
          <w:szCs w:val="28"/>
        </w:rPr>
        <w:t>10. Does DEMHRA assist with emergency home repairs?</w:t>
      </w:r>
    </w:p>
    <w:p w14:paraId="58310AF6" w14:textId="6BFC94C8"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xml:space="preserve">DEMHRA does not provide direct financial assistance for emergency repairs to manufactured homes. However, eligible homeowners may be able to obtain assistance through the </w:t>
      </w:r>
      <w:hyperlink r:id="rId10" w:history="1">
        <w:r w:rsidRPr="00357C52">
          <w:rPr>
            <w:rStyle w:val="Hyperlink"/>
            <w:rFonts w:ascii="Times New Roman" w:hAnsi="Times New Roman" w:cs="Times New Roman"/>
            <w:color w:val="0033CC"/>
            <w:sz w:val="28"/>
            <w:szCs w:val="28"/>
          </w:rPr>
          <w:t>Statewide Emergency Repair Program (SERP)</w:t>
        </w:r>
      </w:hyperlink>
      <w:r w:rsidRPr="00386261">
        <w:rPr>
          <w:rFonts w:ascii="Times New Roman" w:hAnsi="Times New Roman" w:cs="Times New Roman"/>
          <w:sz w:val="28"/>
          <w:szCs w:val="28"/>
        </w:rPr>
        <w:t>, which assists eligible homeowners of manufactured homes located in land-leased communities with certain emergency repairs.</w:t>
      </w:r>
    </w:p>
    <w:p w14:paraId="6C7E57A1" w14:textId="77777777" w:rsidR="007376BA" w:rsidRPr="00386261" w:rsidRDefault="007376BA">
      <w:pPr>
        <w:spacing w:after="120"/>
        <w:rPr>
          <w:rFonts w:ascii="Times New Roman" w:hAnsi="Times New Roman" w:cs="Times New Roman"/>
          <w:sz w:val="28"/>
          <w:szCs w:val="28"/>
        </w:rPr>
      </w:pPr>
    </w:p>
    <w:p w14:paraId="45F4BAA4"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Examples of qualifying emergencies may include:</w:t>
      </w:r>
    </w:p>
    <w:p w14:paraId="58A908DB"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Heating system repairs during the winter months</w:t>
      </w:r>
    </w:p>
    <w:p w14:paraId="67C5AD3F"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Non-functioning plumbing</w:t>
      </w:r>
    </w:p>
    <w:p w14:paraId="2594351C"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Hazardous electrical conditions</w:t>
      </w:r>
    </w:p>
    <w:p w14:paraId="41C64A3D"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Roof repair or replacement for active leaks</w:t>
      </w:r>
    </w:p>
    <w:p w14:paraId="6F1AE28B"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lastRenderedPageBreak/>
        <w:t>• Major structural repairs</w:t>
      </w:r>
    </w:p>
    <w:p w14:paraId="7571ED46" w14:textId="77777777" w:rsidR="007376BA"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Urgent accessibility modifications</w:t>
      </w:r>
    </w:p>
    <w:p w14:paraId="2EA87D28" w14:textId="77777777" w:rsidR="007376BA" w:rsidRPr="00386261" w:rsidRDefault="007376BA">
      <w:pPr>
        <w:spacing w:after="120"/>
        <w:rPr>
          <w:rFonts w:ascii="Times New Roman" w:hAnsi="Times New Roman" w:cs="Times New Roman"/>
          <w:sz w:val="28"/>
          <w:szCs w:val="28"/>
        </w:rPr>
      </w:pPr>
    </w:p>
    <w:p w14:paraId="68B3CB07" w14:textId="6F9EF987" w:rsidR="00386261" w:rsidRPr="00386261" w:rsidRDefault="00182B4B">
      <w:pPr>
        <w:spacing w:after="120"/>
        <w:rPr>
          <w:rFonts w:ascii="Times New Roman" w:hAnsi="Times New Roman" w:cs="Times New Roman"/>
          <w:sz w:val="28"/>
          <w:szCs w:val="28"/>
        </w:rPr>
      </w:pPr>
      <w:r w:rsidRPr="00386261">
        <w:rPr>
          <w:rFonts w:ascii="Times New Roman" w:hAnsi="Times New Roman" w:cs="Times New Roman"/>
          <w:sz w:val="28"/>
          <w:szCs w:val="28"/>
        </w:rPr>
        <w:t xml:space="preserve">SERP is administered by the Milford Housing Development Corporation on behalf of the Delaware State Housing Authority. Residents may call </w:t>
      </w:r>
      <w:hyperlink r:id="rId11" w:history="1">
        <w:r w:rsidRPr="00FC4347">
          <w:rPr>
            <w:rStyle w:val="Hyperlink"/>
            <w:rFonts w:ascii="Times New Roman" w:hAnsi="Times New Roman" w:cs="Times New Roman"/>
            <w:color w:val="0033CC"/>
            <w:sz w:val="28"/>
            <w:szCs w:val="28"/>
          </w:rPr>
          <w:t>(844) 413-0038</w:t>
        </w:r>
      </w:hyperlink>
      <w:r w:rsidRPr="00386261">
        <w:rPr>
          <w:rFonts w:ascii="Times New Roman" w:hAnsi="Times New Roman" w:cs="Times New Roman"/>
          <w:sz w:val="28"/>
          <w:szCs w:val="28"/>
        </w:rPr>
        <w:t xml:space="preserve"> to determine whether they may qualify. Additional information may also be available through the Delaware Manufactured Homeowners </w:t>
      </w:r>
      <w:r w:rsidR="00386261" w:rsidRPr="00386261">
        <w:rPr>
          <w:rFonts w:ascii="Times New Roman" w:hAnsi="Times New Roman" w:cs="Times New Roman"/>
          <w:sz w:val="28"/>
          <w:szCs w:val="28"/>
        </w:rPr>
        <w:t>Association (DMHOA).</w:t>
      </w:r>
    </w:p>
    <w:p w14:paraId="42E3E357" w14:textId="51924273" w:rsidR="00386261" w:rsidRDefault="00386261" w:rsidP="00856EC1">
      <w:pPr>
        <w:spacing w:before="3000" w:after="120" w:line="720" w:lineRule="auto"/>
        <w:rPr>
          <w:rFonts w:ascii="Times New Roman" w:hAnsi="Times New Roman" w:cs="Times New Roman"/>
          <w:sz w:val="28"/>
          <w:szCs w:val="28"/>
        </w:rPr>
      </w:pPr>
      <w:r w:rsidRPr="00386261">
        <w:rPr>
          <w:rFonts w:ascii="Times New Roman" w:hAnsi="Times New Roman" w:cs="Times New Roman"/>
          <w:sz w:val="28"/>
          <w:szCs w:val="28"/>
        </w:rPr>
        <w:t>Revised 10/14/2026</w:t>
      </w:r>
    </w:p>
    <w:p w14:paraId="275F37F2" w14:textId="77777777" w:rsidR="00FC4347" w:rsidRPr="00FC4347" w:rsidRDefault="00FC4347" w:rsidP="00FC4347">
      <w:pPr>
        <w:rPr>
          <w:rFonts w:ascii="Times New Roman" w:hAnsi="Times New Roman" w:cs="Times New Roman"/>
          <w:sz w:val="28"/>
          <w:szCs w:val="28"/>
        </w:rPr>
      </w:pPr>
    </w:p>
    <w:p w14:paraId="0084FCA5" w14:textId="77777777" w:rsidR="00FC4347" w:rsidRPr="00FC4347" w:rsidRDefault="00FC4347" w:rsidP="00FC4347">
      <w:pPr>
        <w:rPr>
          <w:rFonts w:ascii="Times New Roman" w:hAnsi="Times New Roman" w:cs="Times New Roman"/>
          <w:sz w:val="28"/>
          <w:szCs w:val="28"/>
        </w:rPr>
      </w:pPr>
    </w:p>
    <w:p w14:paraId="1D7690C9" w14:textId="77777777" w:rsidR="00FC4347" w:rsidRPr="00FC4347" w:rsidRDefault="00FC4347" w:rsidP="00FC4347">
      <w:pPr>
        <w:rPr>
          <w:rFonts w:ascii="Times New Roman" w:hAnsi="Times New Roman" w:cs="Times New Roman"/>
          <w:sz w:val="28"/>
          <w:szCs w:val="28"/>
        </w:rPr>
      </w:pPr>
    </w:p>
    <w:p w14:paraId="6EA76ABA" w14:textId="77777777" w:rsidR="00FC4347" w:rsidRPr="00FC4347" w:rsidRDefault="00FC4347" w:rsidP="00FC4347">
      <w:pPr>
        <w:rPr>
          <w:rFonts w:ascii="Times New Roman" w:hAnsi="Times New Roman" w:cs="Times New Roman"/>
          <w:sz w:val="28"/>
          <w:szCs w:val="28"/>
        </w:rPr>
      </w:pPr>
    </w:p>
    <w:p w14:paraId="166DCD2C" w14:textId="77777777" w:rsidR="00FC4347" w:rsidRPr="00FC4347" w:rsidRDefault="00FC4347" w:rsidP="00FC4347">
      <w:pPr>
        <w:rPr>
          <w:rFonts w:ascii="Times New Roman" w:hAnsi="Times New Roman" w:cs="Times New Roman"/>
          <w:sz w:val="28"/>
          <w:szCs w:val="28"/>
        </w:rPr>
      </w:pPr>
    </w:p>
    <w:p w14:paraId="6DC3552F" w14:textId="77777777" w:rsidR="00FC4347" w:rsidRPr="00FC4347" w:rsidRDefault="00FC4347" w:rsidP="00FC4347">
      <w:pPr>
        <w:rPr>
          <w:rFonts w:ascii="Times New Roman" w:hAnsi="Times New Roman" w:cs="Times New Roman"/>
          <w:sz w:val="28"/>
          <w:szCs w:val="28"/>
        </w:rPr>
      </w:pPr>
    </w:p>
    <w:p w14:paraId="3765B0E4" w14:textId="77777777" w:rsidR="00FC4347" w:rsidRPr="00FC4347" w:rsidRDefault="00FC4347" w:rsidP="00FC4347">
      <w:pPr>
        <w:rPr>
          <w:rFonts w:ascii="Times New Roman" w:hAnsi="Times New Roman" w:cs="Times New Roman"/>
          <w:sz w:val="28"/>
          <w:szCs w:val="28"/>
        </w:rPr>
      </w:pPr>
    </w:p>
    <w:p w14:paraId="58240F96" w14:textId="77777777" w:rsidR="00FC4347" w:rsidRPr="00FC4347" w:rsidRDefault="00FC4347" w:rsidP="00FC4347">
      <w:pPr>
        <w:rPr>
          <w:rFonts w:ascii="Times New Roman" w:hAnsi="Times New Roman" w:cs="Times New Roman"/>
          <w:sz w:val="28"/>
          <w:szCs w:val="28"/>
        </w:rPr>
      </w:pPr>
    </w:p>
    <w:p w14:paraId="38D2A4AC" w14:textId="77777777" w:rsidR="00FC4347" w:rsidRPr="00FC4347" w:rsidRDefault="00FC4347" w:rsidP="00FC4347">
      <w:pPr>
        <w:rPr>
          <w:rFonts w:ascii="Times New Roman" w:hAnsi="Times New Roman" w:cs="Times New Roman"/>
          <w:sz w:val="28"/>
          <w:szCs w:val="28"/>
        </w:rPr>
      </w:pPr>
    </w:p>
    <w:p w14:paraId="31A596D3" w14:textId="77777777" w:rsidR="00FC4347" w:rsidRPr="00FC4347" w:rsidRDefault="00FC4347" w:rsidP="00FC4347">
      <w:pPr>
        <w:rPr>
          <w:rFonts w:ascii="Times New Roman" w:hAnsi="Times New Roman" w:cs="Times New Roman"/>
          <w:sz w:val="28"/>
          <w:szCs w:val="28"/>
        </w:rPr>
      </w:pPr>
    </w:p>
    <w:p w14:paraId="362070BE" w14:textId="77777777" w:rsidR="00FC4347" w:rsidRPr="00FC4347" w:rsidRDefault="00FC4347" w:rsidP="00FC4347">
      <w:pPr>
        <w:rPr>
          <w:rFonts w:ascii="Times New Roman" w:hAnsi="Times New Roman" w:cs="Times New Roman"/>
          <w:sz w:val="28"/>
          <w:szCs w:val="28"/>
        </w:rPr>
      </w:pPr>
    </w:p>
    <w:p w14:paraId="1D6DAAFE" w14:textId="77777777" w:rsidR="00FC4347" w:rsidRDefault="00FC4347" w:rsidP="00FC4347">
      <w:pPr>
        <w:rPr>
          <w:rFonts w:ascii="Times New Roman" w:hAnsi="Times New Roman" w:cs="Times New Roman"/>
          <w:sz w:val="28"/>
          <w:szCs w:val="28"/>
        </w:rPr>
      </w:pPr>
    </w:p>
    <w:p w14:paraId="7208704B" w14:textId="77777777" w:rsidR="00FC4347" w:rsidRPr="00FC4347" w:rsidRDefault="00FC4347" w:rsidP="00FC4347">
      <w:pPr>
        <w:rPr>
          <w:rFonts w:ascii="Times New Roman" w:hAnsi="Times New Roman" w:cs="Times New Roman"/>
          <w:sz w:val="28"/>
          <w:szCs w:val="28"/>
        </w:rPr>
      </w:pPr>
    </w:p>
    <w:sectPr w:rsidR="00FC4347" w:rsidRPr="00FC4347"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87004" w14:textId="77777777" w:rsidR="00182B4B" w:rsidRDefault="00182B4B" w:rsidP="00FC4347">
      <w:pPr>
        <w:spacing w:after="0" w:line="240" w:lineRule="auto"/>
      </w:pPr>
      <w:r>
        <w:separator/>
      </w:r>
    </w:p>
  </w:endnote>
  <w:endnote w:type="continuationSeparator" w:id="0">
    <w:p w14:paraId="30D4D459" w14:textId="77777777" w:rsidR="00182B4B" w:rsidRDefault="00182B4B" w:rsidP="00FC4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altName w:val="CID Font+ F"/>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FE0EA" w14:textId="77777777" w:rsidR="00182B4B" w:rsidRDefault="00182B4B" w:rsidP="00FC4347">
      <w:pPr>
        <w:spacing w:after="0" w:line="240" w:lineRule="auto"/>
      </w:pPr>
      <w:r>
        <w:separator/>
      </w:r>
    </w:p>
  </w:footnote>
  <w:footnote w:type="continuationSeparator" w:id="0">
    <w:p w14:paraId="63BED1CB" w14:textId="77777777" w:rsidR="00182B4B" w:rsidRDefault="00182B4B" w:rsidP="00FC43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1026753">
    <w:abstractNumId w:val="8"/>
  </w:num>
  <w:num w:numId="2" w16cid:durableId="760562195">
    <w:abstractNumId w:val="6"/>
  </w:num>
  <w:num w:numId="3" w16cid:durableId="470445538">
    <w:abstractNumId w:val="5"/>
  </w:num>
  <w:num w:numId="4" w16cid:durableId="1451165662">
    <w:abstractNumId w:val="4"/>
  </w:num>
  <w:num w:numId="5" w16cid:durableId="180826186">
    <w:abstractNumId w:val="7"/>
  </w:num>
  <w:num w:numId="6" w16cid:durableId="1086223454">
    <w:abstractNumId w:val="3"/>
  </w:num>
  <w:num w:numId="7" w16cid:durableId="1572348219">
    <w:abstractNumId w:val="2"/>
  </w:num>
  <w:num w:numId="8" w16cid:durableId="173302836">
    <w:abstractNumId w:val="1"/>
  </w:num>
  <w:num w:numId="9" w16cid:durableId="163698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2B4B"/>
    <w:rsid w:val="001901A4"/>
    <w:rsid w:val="00234460"/>
    <w:rsid w:val="00293B1F"/>
    <w:rsid w:val="0029639D"/>
    <w:rsid w:val="002E60EC"/>
    <w:rsid w:val="00326F90"/>
    <w:rsid w:val="00357C52"/>
    <w:rsid w:val="00386261"/>
    <w:rsid w:val="00466A3F"/>
    <w:rsid w:val="004C2E68"/>
    <w:rsid w:val="004E686E"/>
    <w:rsid w:val="005773FF"/>
    <w:rsid w:val="00644770"/>
    <w:rsid w:val="007376BA"/>
    <w:rsid w:val="007939EA"/>
    <w:rsid w:val="00856EC1"/>
    <w:rsid w:val="00876162"/>
    <w:rsid w:val="0090011A"/>
    <w:rsid w:val="009F295E"/>
    <w:rsid w:val="00AA1D8D"/>
    <w:rsid w:val="00B219FB"/>
    <w:rsid w:val="00B47730"/>
    <w:rsid w:val="00BA09F6"/>
    <w:rsid w:val="00CB0664"/>
    <w:rsid w:val="00F659BF"/>
    <w:rsid w:val="00FC43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AE6C75"/>
  <w14:defaultImageDpi w14:val="300"/>
  <w15:docId w15:val="{2A8AC6AC-0D33-4F28-B89D-C3AF426C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76162"/>
    <w:rPr>
      <w:color w:val="0000FF" w:themeColor="hyperlink"/>
      <w:u w:val="single"/>
    </w:rPr>
  </w:style>
  <w:style w:type="character" w:styleId="UnresolvedMention">
    <w:name w:val="Unresolved Mention"/>
    <w:basedOn w:val="DefaultParagraphFont"/>
    <w:uiPriority w:val="99"/>
    <w:semiHidden/>
    <w:unhideWhenUsed/>
    <w:rsid w:val="00876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lcode.delaware.gov/title25/c070/sc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18444130038" TargetMode="External"/><Relationship Id="rId5" Type="http://schemas.openxmlformats.org/officeDocument/2006/relationships/webSettings" Target="webSettings.xml"/><Relationship Id="rId10" Type="http://schemas.openxmlformats.org/officeDocument/2006/relationships/hyperlink" Target="https://www.destatehousing.com/statewide-emergency-repair-program-helps-delaware-homeowners-fix-health-and-safety-threats/" TargetMode="External"/><Relationship Id="rId4" Type="http://schemas.openxmlformats.org/officeDocument/2006/relationships/settings" Target="settings.xml"/><Relationship Id="rId9" Type="http://schemas.openxmlformats.org/officeDocument/2006/relationships/hyperlink" Target="https://attorneygeneral.delaware.gov/fraud/c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910</Words>
  <Characters>4979</Characters>
  <Application>Microsoft Office Word</Application>
  <DocSecurity>0</DocSecurity>
  <Lines>79</Lines>
  <Paragraphs>15</Paragraphs>
  <ScaleCrop>false</ScaleCrop>
  <HeadingPairs>
    <vt:vector size="2" baseType="variant">
      <vt:variant>
        <vt:lpstr>Title</vt:lpstr>
      </vt:variant>
      <vt:variant>
        <vt:i4>1</vt:i4>
      </vt:variant>
    </vt:vector>
  </HeadingPairs>
  <TitlesOfParts>
    <vt:vector size="1" baseType="lpstr">
      <vt:lpstr/>
    </vt:vector>
  </TitlesOfParts>
  <Manager/>
  <Company>Delaware Manufactured Home Relocation Authority (DEMHRA)</Company>
  <LinksUpToDate>false</LinksUpToDate>
  <CharactersWithSpaces>5874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DEMHRA Frequently Asked Questions 2026 - Revised</dc:title>
  <dc:subject>Frequently Asked Questions</dc:subject>
  <dc:creator>python-docx</dc:creator>
  <cp:keywords/>
  <dc:description>generated by python-docx</dc:description>
  <cp:lastModifiedBy>Hunton, Sheila D (DOS)</cp:lastModifiedBy>
  <cp:revision>17</cp:revision>
  <cp:lastPrinted>2026-08-13T13:26:00Z</cp:lastPrinted>
  <dcterms:created xsi:type="dcterms:W3CDTF">2026-10-14T12:42:00Z</dcterms:created>
  <dcterms:modified xsi:type="dcterms:W3CDTF">2026-10-14T15:33:00Z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72d15416-06c7-4c02-934d-310d6b4fe65e</vt:lpwstr>
  </property>
</Properties>
</file>